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bookmarkStart w:id="0" w:name="_Hlt450039480"/>
      <w:bookmarkEnd w:id="0"/>
      <w:bookmarkStart w:id="1" w:name="_Hlt450066087"/>
      <w:bookmarkEnd w:id="1"/>
      <w:bookmarkStart w:id="2" w:name="_Hlt449016246"/>
      <w:bookmarkEnd w:id="2"/>
      <w:bookmarkStart w:id="3" w:name="_Hlt448930105"/>
      <w:bookmarkEnd w:id="3"/>
      <w:bookmarkStart w:id="4" w:name="_Hlt450051172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3740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sz w:val="24"/>
          <w:szCs w:val="24"/>
          <w:lang w:eastAsia="zh-CN"/>
        </w:rPr>
        <w:t>, 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8"/>
      <w:bookmarkStart w:id="7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0"/>
          <w:rFonts w:hint="eastAsia"/>
          <w:b/>
          <w:highlight w:val="none"/>
          <w:lang w:val="en-US" w:eastAsia="zh-CN"/>
        </w:rPr>
        <w:t xml:space="preserve"> system parameters for NR NTN Ku 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7.11.3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107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Ku Band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for NR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 NTN Ku 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system parameters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The objectives are: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Use the regulation requirements in ITU Regions 1, 2 and 3 to identify relevant adjacent band co-existence scenarios for NTN Ku Band covering the following frequency ranges, considering targeted deployment scenarios: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2</w:t>
            </w:r>
            <w:r>
              <w:rPr>
                <w:sz w:val="20"/>
                <w:szCs w:val="20"/>
              </w:rPr>
              <w:t xml:space="preserve"> (The US is in scope for the WI using the current allocation of the Ku band. The band introduction in specification is pending FCC decision)</w:t>
            </w:r>
            <w:r>
              <w:rPr>
                <w:bCs/>
                <w:sz w:val="20"/>
                <w:szCs w:val="20"/>
              </w:rPr>
              <w:t>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12.75 - 13.25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For ITU regions 2 </w:t>
            </w:r>
            <w:r>
              <w:rPr>
                <w:sz w:val="20"/>
                <w:szCs w:val="20"/>
              </w:rPr>
              <w:t>(The US is in scope for the WI using the current allocation of the Ku band. The band introduction in specification is pending FCC decision):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12.70 - 13.25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Note: Appropriate Tx/Rx separation for uplink downlink pairing will be required.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Conduct coexistence study. Reuse Ka band coexistence study assumptions as much as possible, with modifications where necessary, e.g. for coexistence scenario, frequency range and subcarrier spacing. Conduct new co-existence studies based on adjacent services.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Specify RF requirements for mobile VSAT served by NGSO and GSO based on existing mobile VSAT type 5 RF requirements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Investigate and if possible specify common FR1 and FR2 radiated RF requirements for Satellite Access Node (SAN) and NTN VSAT types (excluding types 1 to 3) in 38.101-5 also considering existing regulations on antenna sizes for certain parts of the Ku band.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1: for all ITU regions, define Ku band #1a and #1b for the downlink block and uplink block B. D</w:t>
            </w:r>
            <w:r>
              <w:rPr>
                <w:rFonts w:hint="eastAsia"/>
                <w:sz w:val="20"/>
                <w:szCs w:val="20"/>
                <w:lang w:eastAsia="zh-TW"/>
              </w:rPr>
              <w:t>efine two sets of bands, one for FR1 numerology and the other for FR2 numerology, including the support of the following: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FR1-NTN supporting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10 MHz</w:t>
            </w:r>
            <w:r>
              <w:rPr>
                <w:rFonts w:hint="eastAsia"/>
                <w:sz w:val="20"/>
                <w:szCs w:val="20"/>
                <w:lang w:eastAsia="zh-TW"/>
              </w:rPr>
              <w:t>,</w:t>
            </w:r>
            <w:r>
              <w:rPr>
                <w:sz w:val="20"/>
                <w:szCs w:val="20"/>
              </w:rPr>
              <w:t xml:space="preserve"> 20 MHz, 25 MHz, 35 MHz, 50 MHz, 70 MHz and 100 MHz channel bandwidths with 30 kHz subcarrier spacing, and 10MHz, 15MHz, 25MHz, 35MHz and 50MHz channel bandwidths with 15 kHz subcarrier spacing. </w:t>
            </w:r>
          </w:p>
          <w:p>
            <w:pPr>
              <w:pStyle w:val="34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Same subcarrier spacing is assumed for SSB and data channels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FR2-NTN supporting 50 MHz, 100 MHz, 200 MHz, 400 MHz (120kHz SCS only) channel bandwidths with 120 kHz subcarrier spacing</w:t>
            </w:r>
            <w:r>
              <w:rPr>
                <w:sz w:val="20"/>
                <w:szCs w:val="20"/>
                <w:lang w:eastAsia="zh-TW"/>
              </w:rPr>
              <w:t>.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TW"/>
              </w:rPr>
              <w:t>Note: Simultaneous operation of FR1-NTN and FR2-NTN numerology is not supported in the UE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2: for all ITU regions excluding the US in region 2, using the approach in Priority 1, define Ku band #2a and #2b as appropriate for the downlink block and uplink block A.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RRM requirements including timing requirements for mobile VSAT served by NGSO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RRM requirements are defined for VSAT supporting FR1-NTN operation only, or for FR2-NTN operation only.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ind w:left="720" w:hanging="720"/>
              <w:textAlignment w:val="baseline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Sub-topic 1-2: Definition of extended FR1-NTN and FR2-NTN frequency ranges</w:t>
            </w:r>
          </w:p>
          <w:p>
            <w:pPr>
              <w:pStyle w:val="56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</w:pPr>
            <w:r>
              <w:t>Table 5.1-1: Definition of NTN frequency ranges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27"/>
              <w:gridCol w:w="488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Frequency range designation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 xml:space="preserve">Corresponding frequency range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FR1-NTN</w:t>
                  </w:r>
                  <w:r>
                    <w:rPr>
                      <w:vertAlign w:val="superscript"/>
                    </w:rPr>
                    <w:t xml:space="preserve"> </w:t>
                  </w:r>
                  <w:r>
                    <w:t>(Note 1)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 xml:space="preserve">410 MHz – </w:t>
                  </w:r>
                  <w:r>
                    <w:rPr>
                      <w:lang w:val="en-GB"/>
                    </w:rPr>
                    <w:t>14500</w:t>
                  </w:r>
                  <w:r>
                    <w:t xml:space="preserve"> 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FR2-NTN</w:t>
                  </w:r>
                  <w:r>
                    <w:rPr>
                      <w:vertAlign w:val="superscript"/>
                    </w:rPr>
                    <w:t xml:space="preserve"> </w:t>
                  </w:r>
                  <w:r>
                    <w:t>(Note 2)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rPr>
                      <w:lang w:val="en-GB"/>
                    </w:rPr>
                    <w:t>10700</w:t>
                  </w:r>
                  <w:r>
                    <w:t> MHz – 30000 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7611" w:type="dxa"/>
                  <w:gridSpan w:val="2"/>
                  <w:shd w:val="clear" w:color="auto" w:fill="auto"/>
                </w:tcPr>
                <w:p>
                  <w:pPr>
                    <w:pStyle w:val="7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NOTE 1:</w:t>
                  </w:r>
                  <w:r>
                    <w:tab/>
                  </w:r>
                  <w:r>
                    <w:rPr>
                      <w:lang w:val="en-US"/>
                    </w:rPr>
                    <w:t>NTN bands within this frequency range are regarded as a FR1 band when references from other specifications.</w:t>
                  </w:r>
                </w:p>
                <w:p>
                  <w:pPr>
                    <w:pStyle w:val="7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rPr>
                      <w:lang w:val="en-US"/>
                    </w:rPr>
                    <w:t>NOTE 2:</w:t>
                  </w:r>
                  <w:r>
                    <w:tab/>
                  </w:r>
                  <w:r>
                    <w:rPr>
                      <w:lang w:val="en-US"/>
                    </w:rPr>
                    <w:t>NTN bands within this frequency range are regarded as a FR2 band when references from other specifications.</w:t>
                  </w:r>
                </w:p>
              </w:tc>
            </w:tr>
          </w:tbl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ind w:left="720" w:hanging="720"/>
              <w:textAlignment w:val="baseline"/>
              <w:rPr>
                <w:rFonts w:cs="Arial"/>
                <w:b/>
                <w:bCs/>
                <w:lang w:val="en-US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ind w:left="720" w:hanging="720"/>
              <w:textAlignment w:val="baseline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Sub-topic 1-3: Ku bands definition</w:t>
            </w:r>
          </w:p>
          <w:p>
            <w:pPr>
              <w:pStyle w:val="56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</w:pPr>
            <w:r>
              <w:t xml:space="preserve">Table 5.2.3-1: </w:t>
            </w: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>atellite</w:t>
            </w:r>
            <w:r>
              <w:t xml:space="preserve"> </w:t>
            </w:r>
            <w:r>
              <w:rPr>
                <w:i/>
              </w:rPr>
              <w:t>operating bands</w:t>
            </w:r>
            <w:r>
              <w:t xml:space="preserve"> in FR2-NTN</w:t>
            </w:r>
          </w:p>
          <w:tbl>
            <w:tblPr>
              <w:tblStyle w:val="24"/>
              <w:tblW w:w="4121" w:type="pct"/>
              <w:tblInd w:w="98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1"/>
              <w:gridCol w:w="2556"/>
              <w:gridCol w:w="2841"/>
              <w:gridCol w:w="11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Satellite operating band</w:t>
                  </w:r>
                </w:p>
              </w:tc>
              <w:tc>
                <w:tcPr>
                  <w:tcW w:w="160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Uplink (UL) operating band</w:t>
                  </w:r>
                  <w:r>
                    <w:rPr>
                      <w:rFonts w:eastAsia="Yu Mincho"/>
                    </w:rPr>
                    <w:br w:type="textWrapping"/>
                  </w:r>
                  <w:r>
                    <w:rPr>
                      <w:rFonts w:eastAsia="Yu Mincho"/>
                      <w:lang w:val="en-US"/>
                    </w:rPr>
                    <w:t>SAN</w:t>
                  </w:r>
                  <w:r>
                    <w:rPr>
                      <w:rFonts w:eastAsia="Yu Mincho"/>
                    </w:rPr>
                    <w:t xml:space="preserve"> receive / UE transmit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F</w:t>
                  </w:r>
                  <w:r>
                    <w:rPr>
                      <w:rFonts w:eastAsia="Yu Mincho"/>
                      <w:vertAlign w:val="subscript"/>
                    </w:rPr>
                    <w:t>UL,low</w:t>
                  </w:r>
                  <w:r>
                    <w:rPr>
                      <w:rFonts w:eastAsia="Yu Mincho"/>
                    </w:rPr>
                    <w:t xml:space="preserve">   –  F</w:t>
                  </w:r>
                  <w:r>
                    <w:rPr>
                      <w:rFonts w:eastAsia="Yu Mincho"/>
                      <w:vertAlign w:val="subscript"/>
                    </w:rPr>
                    <w:t>UL,high</w:t>
                  </w:r>
                </w:p>
              </w:tc>
              <w:tc>
                <w:tcPr>
                  <w:tcW w:w="178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Downlink (DL) operating band</w:t>
                  </w:r>
                  <w:r>
                    <w:rPr>
                      <w:rFonts w:eastAsia="Yu Mincho"/>
                    </w:rPr>
                    <w:br w:type="textWrapping"/>
                  </w:r>
                  <w:r>
                    <w:rPr>
                      <w:rFonts w:eastAsia="Yu Mincho"/>
                      <w:lang w:val="en-US"/>
                    </w:rPr>
                    <w:t>SAN</w:t>
                  </w:r>
                  <w:r>
                    <w:rPr>
                      <w:rFonts w:eastAsia="Yu Mincho"/>
                    </w:rPr>
                    <w:t xml:space="preserve"> transmit / UE receive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F</w:t>
                  </w:r>
                  <w:r>
                    <w:rPr>
                      <w:rFonts w:eastAsia="Yu Mincho"/>
                      <w:vertAlign w:val="subscript"/>
                    </w:rPr>
                    <w:t>DL,low</w:t>
                  </w:r>
                  <w:r>
                    <w:rPr>
                      <w:rFonts w:eastAsia="Yu Mincho"/>
                    </w:rPr>
                    <w:t xml:space="preserve">   –  F</w:t>
                  </w:r>
                  <w:r>
                    <w:rPr>
                      <w:rFonts w:eastAsia="Yu Mincho"/>
                      <w:vertAlign w:val="subscript"/>
                    </w:rPr>
                    <w:t>DL,high</w:t>
                  </w:r>
                </w:p>
              </w:tc>
              <w:tc>
                <w:tcPr>
                  <w:tcW w:w="71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Duplex mode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/>
                      <w:lang w:val="sv-SE"/>
                    </w:rPr>
                    <w:t>n509</w:t>
                  </w:r>
                </w:p>
              </w:tc>
              <w:tc>
                <w:tcPr>
                  <w:tcW w:w="160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 w:cs="Arial"/>
                      <w:szCs w:val="18"/>
                      <w:lang w:val="en-US"/>
                    </w:rPr>
                  </w:pPr>
                  <w:r>
                    <w:rPr>
                      <w:rFonts w:eastAsia="Yu Mincho" w:cs="Arial"/>
                      <w:szCs w:val="18"/>
                      <w:lang w:val="en-US"/>
                    </w:rPr>
                    <w:t>140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00 MHz -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145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00 MHz</w:t>
                  </w:r>
                </w:p>
              </w:tc>
              <w:tc>
                <w:tcPr>
                  <w:tcW w:w="178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 w:cs="Arial"/>
                      <w:szCs w:val="18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1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07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00 MHz –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1275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</w:t>
                  </w:r>
                  <w:r>
                    <w:rPr>
                      <w:rFonts w:eastAsia="Yu Mincho" w:cs="Arial"/>
                      <w:szCs w:val="18"/>
                      <w:vertAlign w:val="superscript"/>
                      <w:lang w:val="sv-SE"/>
                    </w:rPr>
                    <w:t>4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 MHz</w:t>
                  </w:r>
                </w:p>
              </w:tc>
              <w:tc>
                <w:tcPr>
                  <w:tcW w:w="71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 w:cs="Arial"/>
                      <w:szCs w:val="18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FDD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9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/>
                      <w:lang w:val="sv-SE"/>
                    </w:rPr>
                    <w:t>n508</w:t>
                  </w:r>
                </w:p>
              </w:tc>
              <w:tc>
                <w:tcPr>
                  <w:tcW w:w="160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 w:cs="Arial"/>
                      <w:szCs w:val="18"/>
                      <w:lang w:val="en-US"/>
                    </w:rPr>
                  </w:pPr>
                  <w:r>
                    <w:rPr>
                      <w:rFonts w:eastAsia="Yu Mincho" w:cs="Arial"/>
                      <w:szCs w:val="18"/>
                      <w:lang w:val="en-US"/>
                    </w:rPr>
                    <w:t>13750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 MHz -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140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00 MHz</w:t>
                  </w:r>
                </w:p>
              </w:tc>
              <w:tc>
                <w:tcPr>
                  <w:tcW w:w="178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 w:cs="Arial"/>
                      <w:szCs w:val="18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1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07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00 MHz –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1275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</w:t>
                  </w:r>
                  <w:r>
                    <w:rPr>
                      <w:rFonts w:eastAsia="Yu Mincho" w:cs="Arial"/>
                      <w:szCs w:val="18"/>
                      <w:vertAlign w:val="superscript"/>
                      <w:lang w:val="sv-SE"/>
                    </w:rPr>
                    <w:t>4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 MHz</w:t>
                  </w:r>
                </w:p>
              </w:tc>
              <w:tc>
                <w:tcPr>
                  <w:tcW w:w="71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 w:cs="Arial"/>
                      <w:szCs w:val="18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FDD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 w:cs="Arial"/>
                      <w:szCs w:val="18"/>
                    </w:rPr>
                    <w:t>NOTE 4:</w:t>
                  </w:r>
                  <w:r>
                    <w:rPr>
                      <w:rFonts w:eastAsia="Yu Mincho" w:cs="Arial"/>
                      <w:szCs w:val="18"/>
                    </w:rPr>
                    <w:tab/>
                  </w:r>
                  <w:r>
                    <w:rPr>
                      <w:rFonts w:eastAsia="Yu Mincho" w:cs="Arial"/>
                      <w:szCs w:val="18"/>
                    </w:rPr>
                    <w:t>For the US, the downlink is limited to 10700 – 12200 MHz for Mobile VSAT.</w:t>
                  </w:r>
                  <w:r>
                    <w:rPr>
                      <w:rFonts w:hint="eastAsia" w:eastAsia="Yu Mincho"/>
                    </w:rPr>
                    <w:t>.</w:t>
                  </w:r>
                </w:p>
              </w:tc>
            </w:tr>
          </w:tbl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textAlignment w:val="baseline"/>
              <w:rPr>
                <w:rFonts w:cs="Arial"/>
                <w:b/>
                <w:bCs/>
                <w:lang w:val="en-US"/>
              </w:rPr>
            </w:pPr>
          </w:p>
          <w:p>
            <w:pPr>
              <w:pStyle w:val="56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</w:pPr>
            <w:r>
              <w:t xml:space="preserve">Table 5.2.3-2: </w:t>
            </w: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>atellite</w:t>
            </w:r>
            <w:r>
              <w:t xml:space="preserve"> </w:t>
            </w:r>
            <w:r>
              <w:rPr>
                <w:i/>
              </w:rPr>
              <w:t>operating bands</w:t>
            </w:r>
            <w:r>
              <w:t xml:space="preserve"> in FR1-NTN</w:t>
            </w:r>
          </w:p>
          <w:tbl>
            <w:tblPr>
              <w:tblStyle w:val="24"/>
              <w:tblW w:w="4121" w:type="pct"/>
              <w:tblInd w:w="98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1"/>
              <w:gridCol w:w="2556"/>
              <w:gridCol w:w="2841"/>
              <w:gridCol w:w="11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Satellite operating band</w:t>
                  </w:r>
                </w:p>
              </w:tc>
              <w:tc>
                <w:tcPr>
                  <w:tcW w:w="160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Uplink (UL) operating band</w:t>
                  </w:r>
                  <w:r>
                    <w:rPr>
                      <w:rFonts w:eastAsia="Yu Mincho"/>
                    </w:rPr>
                    <w:br w:type="textWrapping"/>
                  </w:r>
                  <w:r>
                    <w:rPr>
                      <w:rFonts w:eastAsia="Yu Mincho"/>
                      <w:lang w:val="en-US"/>
                    </w:rPr>
                    <w:t>SAN</w:t>
                  </w:r>
                  <w:r>
                    <w:rPr>
                      <w:rFonts w:eastAsia="Yu Mincho"/>
                    </w:rPr>
                    <w:t xml:space="preserve"> receive / UE transmit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F</w:t>
                  </w:r>
                  <w:r>
                    <w:rPr>
                      <w:rFonts w:eastAsia="Yu Mincho"/>
                      <w:vertAlign w:val="subscript"/>
                    </w:rPr>
                    <w:t>UL,low</w:t>
                  </w:r>
                  <w:r>
                    <w:rPr>
                      <w:rFonts w:eastAsia="Yu Mincho"/>
                    </w:rPr>
                    <w:t xml:space="preserve">   –  F</w:t>
                  </w:r>
                  <w:r>
                    <w:rPr>
                      <w:rFonts w:eastAsia="Yu Mincho"/>
                      <w:vertAlign w:val="subscript"/>
                    </w:rPr>
                    <w:t>UL,high</w:t>
                  </w:r>
                </w:p>
              </w:tc>
              <w:tc>
                <w:tcPr>
                  <w:tcW w:w="178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Downlink (DL) operating band</w:t>
                  </w:r>
                  <w:r>
                    <w:rPr>
                      <w:rFonts w:eastAsia="Yu Mincho"/>
                    </w:rPr>
                    <w:br w:type="textWrapping"/>
                  </w:r>
                  <w:r>
                    <w:rPr>
                      <w:rFonts w:eastAsia="Yu Mincho"/>
                      <w:lang w:val="en-US"/>
                    </w:rPr>
                    <w:t>SAN</w:t>
                  </w:r>
                  <w:r>
                    <w:rPr>
                      <w:rFonts w:eastAsia="Yu Mincho"/>
                    </w:rPr>
                    <w:t xml:space="preserve"> transmit / UE receive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F</w:t>
                  </w:r>
                  <w:r>
                    <w:rPr>
                      <w:rFonts w:eastAsia="Yu Mincho"/>
                      <w:vertAlign w:val="subscript"/>
                    </w:rPr>
                    <w:t>DL,low</w:t>
                  </w:r>
                  <w:r>
                    <w:rPr>
                      <w:rFonts w:eastAsia="Yu Mincho"/>
                    </w:rPr>
                    <w:t xml:space="preserve">   –  F</w:t>
                  </w:r>
                  <w:r>
                    <w:rPr>
                      <w:rFonts w:eastAsia="Yu Mincho"/>
                      <w:vertAlign w:val="subscript"/>
                    </w:rPr>
                    <w:t>DL,high</w:t>
                  </w:r>
                </w:p>
              </w:tc>
              <w:tc>
                <w:tcPr>
                  <w:tcW w:w="71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bCs/>
                      <w:lang w:val="sv-SE"/>
                    </w:rPr>
                  </w:pPr>
                  <w:r>
                    <w:rPr>
                      <w:rFonts w:eastAsia="Yu Mincho"/>
                    </w:rPr>
                    <w:t>Duplex mode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/>
                      <w:lang w:val="sv-SE"/>
                    </w:rPr>
                    <w:t>n248</w:t>
                  </w:r>
                </w:p>
              </w:tc>
              <w:tc>
                <w:tcPr>
                  <w:tcW w:w="160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en-US"/>
                    </w:rPr>
                    <w:t>140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00 MHz -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145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00 MHz</w:t>
                  </w:r>
                </w:p>
              </w:tc>
              <w:tc>
                <w:tcPr>
                  <w:tcW w:w="178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1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07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00 MHz –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1275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</w:t>
                  </w:r>
                  <w:r>
                    <w:rPr>
                      <w:rFonts w:eastAsia="Yu Mincho" w:cs="Arial"/>
                      <w:szCs w:val="18"/>
                      <w:vertAlign w:val="superscript"/>
                      <w:lang w:val="sv-SE"/>
                    </w:rPr>
                    <w:t>1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 MHz</w:t>
                  </w:r>
                </w:p>
              </w:tc>
              <w:tc>
                <w:tcPr>
                  <w:tcW w:w="71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FDD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9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/>
                      <w:lang w:val="sv-SE"/>
                    </w:rPr>
                    <w:t>n247</w:t>
                  </w:r>
                </w:p>
              </w:tc>
              <w:tc>
                <w:tcPr>
                  <w:tcW w:w="160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en-US"/>
                    </w:rPr>
                    <w:t>13750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 MHz -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140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00 MHz</w:t>
                  </w:r>
                </w:p>
              </w:tc>
              <w:tc>
                <w:tcPr>
                  <w:tcW w:w="178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1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07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00 MHz – </w:t>
                  </w:r>
                  <w:r>
                    <w:rPr>
                      <w:rFonts w:eastAsia="Yu Mincho" w:cs="Arial"/>
                      <w:szCs w:val="18"/>
                      <w:lang w:val="en-US"/>
                    </w:rPr>
                    <w:t>1275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>0</w:t>
                  </w:r>
                  <w:r>
                    <w:rPr>
                      <w:rFonts w:eastAsia="Yu Mincho" w:cs="Arial"/>
                      <w:szCs w:val="18"/>
                      <w:vertAlign w:val="superscript"/>
                      <w:lang w:val="sv-SE"/>
                    </w:rPr>
                    <w:t>1</w:t>
                  </w:r>
                  <w:r>
                    <w:rPr>
                      <w:rFonts w:eastAsia="Yu Mincho" w:cs="Arial"/>
                      <w:szCs w:val="18"/>
                      <w:lang w:val="sv-SE"/>
                    </w:rPr>
                    <w:t xml:space="preserve"> MHz</w:t>
                  </w:r>
                </w:p>
              </w:tc>
              <w:tc>
                <w:tcPr>
                  <w:tcW w:w="71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  <w:lang w:val="sv-SE"/>
                    </w:rPr>
                  </w:pPr>
                  <w:r>
                    <w:rPr>
                      <w:rFonts w:eastAsia="Yu Mincho" w:cs="Arial"/>
                      <w:szCs w:val="18"/>
                      <w:lang w:val="sv-SE"/>
                    </w:rPr>
                    <w:t>FDD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180" w:afterLines="0" w:line="240" w:lineRule="auto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 w:cs="Arial"/>
                      <w:szCs w:val="18"/>
                    </w:rPr>
                    <w:t>NOTE 1:</w:t>
                  </w:r>
                  <w:r>
                    <w:rPr>
                      <w:rFonts w:eastAsia="Yu Mincho" w:cs="Arial"/>
                      <w:szCs w:val="18"/>
                    </w:rPr>
                    <w:tab/>
                  </w:r>
                  <w:r>
                    <w:rPr>
                      <w:rFonts w:eastAsia="Yu Mincho" w:cs="Arial"/>
                      <w:szCs w:val="18"/>
                    </w:rPr>
                    <w:t>For the US, the downlink is limited to 10700 – 12200 MHz for Mobile VSAT.</w:t>
                  </w:r>
                  <w:r>
                    <w:rPr>
                      <w:rFonts w:hint="eastAsia" w:eastAsia="Yu Mincho"/>
                    </w:rPr>
                    <w:t>.</w:t>
                  </w:r>
                </w:p>
              </w:tc>
            </w:tr>
          </w:tbl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textAlignment w:val="baseline"/>
              <w:rPr>
                <w:rFonts w:cs="Arial"/>
                <w:b/>
                <w:bCs/>
                <w:lang w:val="en-US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textAlignment w:val="baseline"/>
              <w:rPr>
                <w:rFonts w:eastAsia="PMingLiU" w:cs="Arial"/>
                <w:b/>
                <w:bCs/>
                <w:lang w:val="en-US" w:eastAsia="zh-TW"/>
              </w:rPr>
            </w:pPr>
            <w:r>
              <w:rPr>
                <w:rFonts w:cs="Arial"/>
                <w:b/>
                <w:bCs/>
                <w:lang w:val="en-US"/>
              </w:rPr>
              <w:t>Sub-topic 3-6: FR1-NTN ARFCN definitions</w:t>
            </w:r>
          </w:p>
          <w:p>
            <w:pPr>
              <w:pStyle w:val="56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</w:pPr>
            <w:r>
              <w:t>Table 5.4.2.3-1: Applicable NR-ARFCN per operating band in FR1-NTN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2"/>
              <w:gridCol w:w="1146"/>
              <w:gridCol w:w="2876"/>
              <w:gridCol w:w="287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12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t>NTN satellite operating band</w:t>
                  </w:r>
                </w:p>
              </w:tc>
              <w:tc>
                <w:tcPr>
                  <w:tcW w:w="11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ΔF</w:t>
                  </w:r>
                  <w:r>
                    <w:rPr>
                      <w:vertAlign w:val="subscript"/>
                    </w:rPr>
                    <w:t>Raster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t>(kHz)</w:t>
                  </w:r>
                  <w:r>
                    <w:rPr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28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Uplink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  <w:vertAlign w:val="subscript"/>
                    </w:rPr>
                  </w:pPr>
                  <w:r>
                    <w:rPr>
                      <w:rFonts w:eastAsia="Yu Mincho"/>
                    </w:rPr>
                    <w:t>Range of N</w:t>
                  </w:r>
                  <w:r>
                    <w:rPr>
                      <w:rFonts w:eastAsia="Yu Mincho"/>
                      <w:vertAlign w:val="subscript"/>
                    </w:rPr>
                    <w:t>REF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(First – &lt;Step size&gt; – Last)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Downlink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  <w:vertAlign w:val="subscript"/>
                    </w:rPr>
                  </w:pPr>
                  <w:r>
                    <w:rPr>
                      <w:rFonts w:eastAsia="Yu Mincho"/>
                    </w:rPr>
                    <w:t>Range of N</w:t>
                  </w:r>
                  <w:r>
                    <w:rPr>
                      <w:rFonts w:eastAsia="Yu Mincho"/>
                      <w:vertAlign w:val="subscript"/>
                    </w:rPr>
                    <w:t>REF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(First – &lt;Step size&gt; – Last)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2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lang w:val="en-GB"/>
                    </w:rPr>
                  </w:pPr>
                  <w:r>
                    <w:t>n2</w:t>
                  </w:r>
                  <w:r>
                    <w:rPr>
                      <w:lang w:val="en-GB"/>
                    </w:rPr>
                    <w:t>48</w:t>
                  </w:r>
                </w:p>
              </w:tc>
              <w:tc>
                <w:tcPr>
                  <w:tcW w:w="11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30</w:t>
                  </w:r>
                </w:p>
              </w:tc>
              <w:tc>
                <w:tcPr>
                  <w:tcW w:w="28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1333334 – &lt;2&gt; – 1366666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1113334 – &lt;2&gt; – 1250000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2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lang w:val="en-GB"/>
                    </w:rPr>
                  </w:pPr>
                  <w:r>
                    <w:t>n2</w:t>
                  </w:r>
                  <w:r>
                    <w:rPr>
                      <w:lang w:val="en-GB"/>
                    </w:rPr>
                    <w:t>47</w:t>
                  </w:r>
                </w:p>
              </w:tc>
              <w:tc>
                <w:tcPr>
                  <w:tcW w:w="11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30</w:t>
                  </w:r>
                </w:p>
              </w:tc>
              <w:tc>
                <w:tcPr>
                  <w:tcW w:w="28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1316668 – &lt;2&gt; – 1333332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1113334 – &lt;2&gt; – 1250000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 w:line="259" w:lineRule="auto"/>
              <w:textAlignment w:val="baseline"/>
              <w:rPr>
                <w:rFonts w:ascii="Arial" w:hAnsi="Arial" w:cs="Arial"/>
                <w:bCs/>
                <w:lang w:val="en-US" w:eastAsia="en-GB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ind w:left="720" w:hanging="720"/>
              <w:textAlignment w:val="baseline"/>
              <w:rPr>
                <w:rFonts w:eastAsia="PMingLiU" w:cs="Arial"/>
                <w:b/>
                <w:bCs/>
                <w:lang w:val="en-US" w:eastAsia="zh-TW"/>
              </w:rPr>
            </w:pPr>
            <w:r>
              <w:rPr>
                <w:rFonts w:cs="Arial"/>
                <w:b/>
                <w:bCs/>
                <w:lang w:val="en-US"/>
              </w:rPr>
              <w:t>Sub-topic 3-7: FR2-NTN ARFCN definitions</w:t>
            </w:r>
          </w:p>
          <w:p>
            <w:pPr>
              <w:pStyle w:val="56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eastAsia="Yu Mincho"/>
              </w:rPr>
            </w:pPr>
            <w:r>
              <w:t xml:space="preserve">Table 5.4.2.3-3: </w:t>
            </w:r>
            <w:r>
              <w:rPr>
                <w:rFonts w:eastAsia="Yu Mincho"/>
              </w:rPr>
              <w:t xml:space="preserve">Applicable </w:t>
            </w:r>
            <w:r>
              <w:t>NR-A</w:t>
            </w:r>
            <w:r>
              <w:rPr>
                <w:rFonts w:eastAsia="Yu Mincho"/>
              </w:rPr>
              <w:t xml:space="preserve">RFCN per </w:t>
            </w:r>
            <w:r>
              <w:rPr>
                <w:rFonts w:eastAsia="Yu Mincho"/>
                <w:iCs/>
              </w:rPr>
              <w:t>operating band</w:t>
            </w:r>
            <w:r>
              <w:rPr>
                <w:rFonts w:eastAsia="Yu Mincho"/>
              </w:rPr>
              <w:t xml:space="preserve"> in FR2-NTN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2"/>
              <w:gridCol w:w="1146"/>
              <w:gridCol w:w="2877"/>
              <w:gridCol w:w="287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cantSplit/>
                <w:jc w:val="center"/>
              </w:trPr>
              <w:tc>
                <w:tcPr>
                  <w:tcW w:w="12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t>SAN operating band</w:t>
                  </w:r>
                </w:p>
              </w:tc>
              <w:tc>
                <w:tcPr>
                  <w:tcW w:w="11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ΔF</w:t>
                  </w:r>
                  <w:r>
                    <w:rPr>
                      <w:vertAlign w:val="subscript"/>
                    </w:rPr>
                    <w:t>Raster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 xml:space="preserve">(kHz) 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Uplink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vertAlign w:val="subscript"/>
                    </w:rPr>
                  </w:pPr>
                  <w:r>
                    <w:rPr>
                      <w:rFonts w:eastAsia="Yu Mincho"/>
                    </w:rPr>
                    <w:t>range of N</w:t>
                  </w:r>
                  <w:r>
                    <w:rPr>
                      <w:rFonts w:eastAsia="Yu Mincho"/>
                      <w:vertAlign w:val="subscript"/>
                    </w:rPr>
                    <w:t>REF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(First – &lt;Step size&gt; – Last)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Downlink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vertAlign w:val="subscript"/>
                    </w:rPr>
                  </w:pPr>
                  <w:r>
                    <w:rPr>
                      <w:rFonts w:eastAsia="Yu Mincho"/>
                    </w:rPr>
                    <w:t>range of N</w:t>
                  </w:r>
                  <w:r>
                    <w:rPr>
                      <w:rFonts w:eastAsia="Yu Mincho"/>
                      <w:vertAlign w:val="subscript"/>
                    </w:rPr>
                    <w:t>REF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(First – &lt;Step size&gt; – Last)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12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n509</w:t>
                  </w:r>
                </w:p>
              </w:tc>
              <w:tc>
                <w:tcPr>
                  <w:tcW w:w="11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120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1333336 – &lt;8&gt; – 1366664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1113336 – &lt;8&gt; – 1250000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12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n508</w:t>
                  </w:r>
                </w:p>
              </w:tc>
              <w:tc>
                <w:tcPr>
                  <w:tcW w:w="11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120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cs="Arial"/>
                      <w:color w:val="000000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1316672 – &lt;8&gt; – 1333328</w:t>
                  </w:r>
                </w:p>
              </w:tc>
              <w:tc>
                <w:tcPr>
                  <w:tcW w:w="28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eastAsia="Times New Roman" w:cs="Arial"/>
                      <w:color w:val="000000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1113336 – &lt;8&gt; – 1250000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 w:line="259" w:lineRule="auto"/>
              <w:textAlignment w:val="baseline"/>
              <w:rPr>
                <w:rFonts w:ascii="Arial" w:hAnsi="Arial" w:cs="Arial"/>
                <w:bCs/>
                <w:lang w:val="en-US" w:eastAsia="en-GB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 w:line="259" w:lineRule="auto"/>
              <w:textAlignment w:val="baseline"/>
              <w:rPr>
                <w:rFonts w:ascii="Arial" w:hAnsi="Arial" w:cs="Arial"/>
                <w:bCs/>
                <w:lang w:val="en-US" w:eastAsia="en-GB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ind w:right="0" w:rightChars="0"/>
              <w:textAlignment w:val="baseline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Sub-topic 3-8: FR1-NTN GSCN definitions</w:t>
            </w:r>
          </w:p>
          <w:p>
            <w:pPr>
              <w:pStyle w:val="56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</w:pPr>
            <w:r>
              <w:t>Table 5.4.3.3-1: Applicable SS raster entries per operating band (FR1-NTN)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47"/>
              <w:gridCol w:w="2331"/>
              <w:gridCol w:w="2339"/>
              <w:gridCol w:w="23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34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NTN satellite operating band</w:t>
                  </w:r>
                </w:p>
              </w:tc>
              <w:tc>
                <w:tcPr>
                  <w:tcW w:w="23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SS Block SCS</w:t>
                  </w:r>
                </w:p>
              </w:tc>
              <w:tc>
                <w:tcPr>
                  <w:tcW w:w="23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SS Block pattern</w:t>
                  </w:r>
                  <w:r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233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Range of GSCN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(First – &lt;Step size&gt; – Last)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347" w:type="dxa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lang w:val="en-GB"/>
                    </w:rPr>
                  </w:pPr>
                  <w:r>
                    <w:t>n2</w:t>
                  </w:r>
                  <w:r>
                    <w:rPr>
                      <w:lang w:val="en-GB"/>
                    </w:rPr>
                    <w:t>48</w:t>
                  </w:r>
                </w:p>
              </w:tc>
              <w:tc>
                <w:tcPr>
                  <w:tcW w:w="23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30 kHz</w:t>
                  </w:r>
                </w:p>
              </w:tc>
              <w:tc>
                <w:tcPr>
                  <w:tcW w:w="23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Case C</w:t>
                  </w:r>
                </w:p>
              </w:tc>
              <w:tc>
                <w:tcPr>
                  <w:tcW w:w="233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12850 – &lt;1&gt; – 14266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347" w:type="dxa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lang w:val="en-GB"/>
                    </w:rPr>
                  </w:pPr>
                  <w:r>
                    <w:t>n2</w:t>
                  </w:r>
                  <w:r>
                    <w:rPr>
                      <w:lang w:val="en-GB"/>
                    </w:rPr>
                    <w:t>47</w:t>
                  </w:r>
                </w:p>
              </w:tc>
              <w:tc>
                <w:tcPr>
                  <w:tcW w:w="23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30 kHz</w:t>
                  </w:r>
                </w:p>
              </w:tc>
              <w:tc>
                <w:tcPr>
                  <w:tcW w:w="23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</w:pPr>
                  <w:r>
                    <w:t>Case C</w:t>
                  </w:r>
                </w:p>
              </w:tc>
              <w:tc>
                <w:tcPr>
                  <w:tcW w:w="233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12850 – &lt;1&gt; – 14266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 w:line="259" w:lineRule="auto"/>
              <w:textAlignment w:val="baseline"/>
              <w:rPr>
                <w:rFonts w:ascii="Arial" w:hAnsi="Arial" w:cs="Arial"/>
                <w:bCs/>
                <w:lang w:val="en-US" w:eastAsia="en-GB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ind w:right="0" w:rightChars="0"/>
              <w:textAlignment w:val="baseline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Sub-topic 3-9: FR2-NTN GSCN definitions</w:t>
            </w:r>
          </w:p>
          <w:p>
            <w:pPr>
              <w:pStyle w:val="56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 xml:space="preserve">Table 5.4.3.3-2: Applicable SS raster entries per </w:t>
            </w:r>
            <w:r>
              <w:rPr>
                <w:rFonts w:eastAsia="Yu Mincho"/>
                <w:iCs/>
              </w:rPr>
              <w:t>operating band</w:t>
            </w:r>
            <w:r>
              <w:rPr>
                <w:rFonts w:eastAsia="Yu Mincho"/>
              </w:rPr>
              <w:t xml:space="preserve"> (FR2-NTN)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98"/>
              <w:gridCol w:w="2165"/>
              <w:gridCol w:w="1827"/>
              <w:gridCol w:w="25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0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lang w:eastAsia="ko-KR"/>
                    </w:rPr>
                  </w:pPr>
                  <w:r>
                    <w:t>SAN operating band</w:t>
                  </w:r>
                </w:p>
              </w:tc>
              <w:tc>
                <w:tcPr>
                  <w:tcW w:w="21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lang w:eastAsia="ko-KR"/>
                    </w:rPr>
                  </w:pPr>
                  <w:r>
                    <w:t>SS Block SCS</w:t>
                  </w:r>
                </w:p>
              </w:tc>
              <w:tc>
                <w:tcPr>
                  <w:tcW w:w="182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lang w:eastAsia="ko-KR"/>
                    </w:rPr>
                  </w:pPr>
                  <w:r>
                    <w:t>SS Block pattern</w:t>
                  </w:r>
                  <w:r>
                    <w:br w:type="textWrapping"/>
                  </w:r>
                  <w:r>
                    <w:t>(NOTE)</w:t>
                  </w:r>
                </w:p>
              </w:tc>
              <w:tc>
                <w:tcPr>
                  <w:tcW w:w="25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vertAlign w:val="subscript"/>
                    </w:rPr>
                  </w:pPr>
                  <w:r>
                    <w:t>Range of GSCN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lang w:val="en-US" w:eastAsia="ko-KR"/>
                    </w:rPr>
                  </w:pPr>
                  <w:r>
                    <w:t>(First – &lt;Step size&gt; – Last)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lang w:eastAsia="ko-KR"/>
                    </w:rPr>
                  </w:pPr>
                  <w:r>
                    <w:rPr>
                      <w:rFonts w:eastAsia="Yu Mincho"/>
                      <w:lang w:eastAsia="ko-KR"/>
                    </w:rPr>
                    <w:t>n509</w:t>
                  </w:r>
                </w:p>
              </w:tc>
              <w:tc>
                <w:tcPr>
                  <w:tcW w:w="21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120 kHz</w:t>
                  </w:r>
                </w:p>
              </w:tc>
              <w:tc>
                <w:tcPr>
                  <w:tcW w:w="182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Case D</w:t>
                  </w:r>
                </w:p>
              </w:tc>
              <w:tc>
                <w:tcPr>
                  <w:tcW w:w="25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Calibri" w:hAnsi="Calibri" w:eastAsia="Times New Roman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12864 – &lt;12&gt; – 14256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rFonts w:eastAsia="Yu Mincho"/>
                      <w:lang w:eastAsia="ko-KR"/>
                    </w:rPr>
                  </w:pPr>
                  <w:r>
                    <w:rPr>
                      <w:rFonts w:eastAsia="Yu Mincho"/>
                      <w:lang w:eastAsia="ko-KR"/>
                    </w:rPr>
                    <w:t>n508</w:t>
                  </w:r>
                </w:p>
              </w:tc>
              <w:tc>
                <w:tcPr>
                  <w:tcW w:w="21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120 kHz</w:t>
                  </w:r>
                </w:p>
              </w:tc>
              <w:tc>
                <w:tcPr>
                  <w:tcW w:w="182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Lines="0" w:line="240" w:lineRule="auto"/>
                    <w:textAlignment w:val="auto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Case D</w:t>
                  </w:r>
                </w:p>
              </w:tc>
              <w:tc>
                <w:tcPr>
                  <w:tcW w:w="25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Calibri" w:hAnsi="Calibri" w:eastAsia="Times New Roman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12864 – &lt;12&gt; – 14256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eastAsia="Yu Mincho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 w:line="259" w:lineRule="auto"/>
              <w:textAlignment w:val="baseline"/>
              <w:rPr>
                <w:rFonts w:ascii="Arial" w:hAnsi="Arial" w:cs="Arial"/>
                <w:bCs/>
                <w:lang w:val="en-US" w:eastAsia="en-GB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ind w:left="720" w:hanging="720"/>
              <w:textAlignment w:val="baseline"/>
              <w:rPr>
                <w:rFonts w:eastAsia="PMingLiU" w:cs="Arial"/>
                <w:b/>
                <w:bCs/>
                <w:lang w:val="en-US" w:eastAsia="zh-TW"/>
              </w:rPr>
            </w:pPr>
            <w:r>
              <w:rPr>
                <w:rFonts w:cs="Arial"/>
                <w:b/>
                <w:bCs/>
                <w:lang w:val="en-US"/>
              </w:rPr>
              <w:t>Sub-topic 3-10: Default Tx Rx frequency separation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 w:line="259" w:lineRule="auto"/>
              <w:textAlignment w:val="baseline"/>
              <w:rPr>
                <w:rFonts w:ascii="Arial" w:hAnsi="Arial" w:cs="Arial"/>
                <w:bCs/>
                <w:lang w:val="en-US" w:eastAsia="en-GB"/>
              </w:rPr>
            </w:pPr>
            <w:r>
              <w:rPr>
                <w:rFonts w:ascii="Arial" w:hAnsi="Arial" w:cs="Arial"/>
                <w:bCs/>
                <w:lang w:val="en-US" w:eastAsia="en-GB"/>
              </w:rPr>
              <w:t>Agreement: Variable TX RX spacing is assumed, how it is specified is FFS.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 w:line="259" w:lineRule="auto"/>
              <w:textAlignment w:val="baseline"/>
              <w:rPr>
                <w:rFonts w:ascii="Arial" w:hAnsi="Arial" w:cs="Arial"/>
                <w:bCs/>
                <w:lang w:val="en-US" w:eastAsia="en-GB"/>
              </w:rPr>
            </w:pPr>
            <w:r>
              <w:rPr>
                <w:rFonts w:ascii="Arial" w:hAnsi="Arial" w:cs="Arial"/>
                <w:bCs/>
                <w:lang w:val="en-US" w:eastAsia="en-GB"/>
              </w:rPr>
              <w:t>Ka band FR2 did not specify Tx Rx separation due to the large separation but may need to specify for Ku with close separation.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80" w:beforeLines="0" w:after="240" w:afterLines="0" w:line="260" w:lineRule="auto"/>
        <w:textAlignment w:val="baseline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above is the agreement in last meeting. We already reached some agreements on band definition, ARFCN and GSCN definitions for 30 kHz and 120 kHz SCS. In RAN #107 meeting, the approved revised WID includes 15 kHz SCS for FR1-NTN in Ku band. We need to define the corresponding channel bandwidths, ARFCN and GSCN definitions for 15 kHz for Ku band.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80" w:beforeLines="0" w:after="240" w:afterLines="0" w:line="260" w:lineRule="auto"/>
        <w:textAlignment w:val="baseline"/>
        <w:rPr>
          <w:rFonts w:hint="eastAsia" w:cs="Times New Roman"/>
          <w:sz w:val="20"/>
          <w:szCs w:val="20"/>
          <w:lang w:val="en-US" w:eastAsia="zh-CN"/>
        </w:rPr>
      </w:pP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beforeLines="150" w:after="0" w:afterLines="100" w:line="360" w:lineRule="auto"/>
        <w:textAlignment w:val="baseline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Channel bandwidths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Based on the objective in the revised WID, we propose to define the following channel bandwidths for Ku band for </w:t>
      </w:r>
      <w:r>
        <w:rPr>
          <w:rFonts w:hint="eastAsia"/>
          <w:sz w:val="20"/>
          <w:szCs w:val="20"/>
          <w:highlight w:val="none"/>
          <w:lang w:eastAsia="zh-TW"/>
        </w:rPr>
        <w:t>two sets of bands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. </w:t>
      </w:r>
    </w:p>
    <w:p>
      <w:pPr>
        <w:pStyle w:val="56"/>
        <w:rPr>
          <w:sz w:val="20"/>
          <w:szCs w:val="18"/>
          <w:lang w:eastAsia="en-US"/>
        </w:rPr>
      </w:pPr>
      <w:r>
        <w:rPr>
          <w:sz w:val="20"/>
          <w:szCs w:val="18"/>
        </w:rPr>
        <w:t xml:space="preserve">Table </w:t>
      </w:r>
      <w:r>
        <w:rPr>
          <w:rFonts w:hint="eastAsia"/>
          <w:sz w:val="20"/>
          <w:szCs w:val="18"/>
          <w:lang w:val="en-US" w:eastAsia="zh-CN"/>
        </w:rPr>
        <w:t>2-</w:t>
      </w:r>
      <w:r>
        <w:rPr>
          <w:sz w:val="20"/>
          <w:szCs w:val="18"/>
        </w:rPr>
        <w:t>1: Channel bandwidths for each NTN satellite band in FR1-NTN</w:t>
      </w:r>
    </w:p>
    <w:tbl>
      <w:tblPr>
        <w:tblStyle w:val="24"/>
        <w:tblW w:w="11125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SCS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t>kHz</w:t>
            </w:r>
          </w:p>
        </w:tc>
        <w:tc>
          <w:tcPr>
            <w:tcW w:w="8500" w:type="dxa"/>
            <w:gridSpan w:val="10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25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30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</w:pPr>
            <w:r>
              <w:rPr>
                <w:b/>
              </w:rPr>
              <w:t>(NOTE)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30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60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30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</w:t>
            </w: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/>
              </w:rPr>
            </w:pPr>
          </w:p>
        </w:tc>
        <w:tc>
          <w:tcPr>
            <w:tcW w:w="1132" w:type="dxa"/>
            <w:tcBorders>
              <w:bottom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60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</w:tbl>
    <w:p>
      <w:pPr>
        <w:pStyle w:val="56"/>
        <w:rPr>
          <w:sz w:val="20"/>
          <w:szCs w:val="18"/>
        </w:rPr>
      </w:pPr>
      <w:r>
        <w:rPr>
          <w:sz w:val="20"/>
          <w:szCs w:val="18"/>
        </w:rPr>
        <w:t xml:space="preserve">Table </w:t>
      </w:r>
      <w:r>
        <w:rPr>
          <w:rFonts w:hint="eastAsia"/>
          <w:sz w:val="20"/>
          <w:szCs w:val="18"/>
          <w:lang w:val="en-US" w:eastAsia="zh-CN"/>
        </w:rPr>
        <w:t>2-</w:t>
      </w:r>
      <w:r>
        <w:rPr>
          <w:sz w:val="20"/>
          <w:szCs w:val="18"/>
        </w:rPr>
        <w:t>2: Channel bandwidths for each NTN satellite band in FR2-NTN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1701"/>
        <w:gridCol w:w="1134"/>
        <w:gridCol w:w="1134"/>
        <w:gridCol w:w="1276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SAN Operating</w:t>
            </w:r>
            <w:r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SCS (kHz)</w:t>
            </w:r>
          </w:p>
        </w:tc>
        <w:tc>
          <w:tcPr>
            <w:tcW w:w="4814" w:type="dxa"/>
            <w:gridSpan w:val="4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i/>
              </w:rPr>
              <w:t>SAN channel bandwidth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5</w:t>
            </w:r>
            <w:r>
              <w:t>0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1</w:t>
            </w:r>
            <w:r>
              <w:t>00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6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2</w:t>
            </w:r>
            <w:r>
              <w:t>00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4</w:t>
            </w:r>
            <w:r>
              <w:t>00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bottom w:val="nil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</w:t>
            </w:r>
            <w:r>
              <w:rPr>
                <w:rFonts w:hint="eastAsia" w:eastAsia="Yu Mincho" w:cs="Arial"/>
                <w:szCs w:val="18"/>
                <w:lang w:val="en-US" w:eastAsia="zh-CN"/>
              </w:rPr>
              <w:t>509</w:t>
            </w:r>
          </w:p>
        </w:tc>
        <w:tc>
          <w:tcPr>
            <w:tcW w:w="1701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6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701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120</w:t>
            </w: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100</w:t>
            </w:r>
          </w:p>
        </w:tc>
        <w:tc>
          <w:tcPr>
            <w:tcW w:w="1276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200</w:t>
            </w:r>
          </w:p>
        </w:tc>
        <w:tc>
          <w:tcPr>
            <w:tcW w:w="127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bottom w:val="nil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</w:t>
            </w:r>
            <w:r>
              <w:rPr>
                <w:rFonts w:hint="eastAsia" w:eastAsia="Yu Mincho" w:cs="Arial"/>
                <w:szCs w:val="18"/>
                <w:lang w:val="en-US" w:eastAsia="zh-CN"/>
              </w:rPr>
              <w:t>508</w:t>
            </w:r>
          </w:p>
        </w:tc>
        <w:tc>
          <w:tcPr>
            <w:tcW w:w="1701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6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701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120</w:t>
            </w: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100</w:t>
            </w:r>
          </w:p>
        </w:tc>
        <w:tc>
          <w:tcPr>
            <w:tcW w:w="1276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200</w:t>
            </w:r>
          </w:p>
        </w:tc>
        <w:tc>
          <w:tcPr>
            <w:tcW w:w="127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400</w:t>
            </w:r>
          </w:p>
        </w:tc>
      </w:tr>
    </w:tbl>
    <w:p>
      <w:pPr>
        <w:bidi w:val="0"/>
        <w:jc w:val="both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It is proposed to define the following channel bandwidths for Ku band for two sets of bands.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beforeLines="150" w:after="0" w:afterLines="100" w:line="360" w:lineRule="auto"/>
        <w:textAlignment w:val="baseline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Channel raster and sync raster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Based on the above, we propose to define the channel raster entries and SS raster entries for Ku band in FR1-NTN.</w:t>
      </w:r>
    </w:p>
    <w:p>
      <w:pPr>
        <w:pStyle w:val="56"/>
        <w:rPr>
          <w:sz w:val="20"/>
          <w:szCs w:val="18"/>
        </w:rPr>
      </w:pPr>
      <w:r>
        <w:rPr>
          <w:sz w:val="20"/>
          <w:szCs w:val="18"/>
        </w:rPr>
        <w:t>Table 2</w:t>
      </w:r>
      <w:r>
        <w:rPr>
          <w:rFonts w:hint="eastAsia"/>
          <w:sz w:val="20"/>
          <w:szCs w:val="18"/>
          <w:lang w:val="en-US" w:eastAsia="zh-CN"/>
        </w:rPr>
        <w:t>-3</w:t>
      </w:r>
      <w:r>
        <w:rPr>
          <w:sz w:val="20"/>
          <w:szCs w:val="18"/>
        </w:rPr>
        <w:t xml:space="preserve">: </w:t>
      </w:r>
      <w:r>
        <w:rPr>
          <w:rFonts w:eastAsia="Yu Mincho"/>
          <w:sz w:val="20"/>
          <w:szCs w:val="18"/>
        </w:rPr>
        <w:t xml:space="preserve">Applicable </w:t>
      </w:r>
      <w:r>
        <w:rPr>
          <w:sz w:val="20"/>
          <w:szCs w:val="18"/>
        </w:rPr>
        <w:t>NR-A</w:t>
      </w:r>
      <w:r>
        <w:rPr>
          <w:rFonts w:eastAsia="Yu Mincho"/>
          <w:sz w:val="20"/>
          <w:szCs w:val="18"/>
        </w:rPr>
        <w:t xml:space="preserve">RFCN per </w:t>
      </w:r>
      <w:r>
        <w:rPr>
          <w:rFonts w:eastAsia="Yu Mincho"/>
          <w:i/>
          <w:sz w:val="20"/>
          <w:szCs w:val="18"/>
        </w:rPr>
        <w:t>operating band</w:t>
      </w:r>
      <w:r>
        <w:rPr>
          <w:rFonts w:eastAsia="Yu Mincho"/>
          <w:sz w:val="20"/>
          <w:szCs w:val="18"/>
        </w:rPr>
        <w:t xml:space="preserve"> in FR1-NTN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1366666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125</w:t>
            </w:r>
            <w:r>
              <w:rPr>
                <w:rFonts w:hint="eastAsia"/>
                <w:lang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1333334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1366666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1113334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– &lt;2&gt; – </w:t>
            </w:r>
            <w:r>
              <w:rPr>
                <w:rFonts w:hint="eastAsia"/>
                <w:lang w:val="en-US" w:eastAsia="zh-CN"/>
              </w:rPr>
              <w:t>125</w:t>
            </w:r>
            <w:r>
              <w:rPr>
                <w:rFonts w:hint="eastAsia"/>
                <w:lang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t>131666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 – &lt;</w:t>
            </w:r>
            <w:r>
              <w:rPr>
                <w:rFonts w:hint="eastAsia"/>
                <w:lang w:val="en-US" w:eastAsia="zh-CN"/>
              </w:rPr>
              <w:t>1</w:t>
            </w:r>
            <w:r>
              <w:t>&gt; – 1333332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125</w:t>
            </w:r>
            <w:r>
              <w:rPr>
                <w:rFonts w:hint="eastAsia"/>
                <w:lang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zh-CN"/>
              </w:rPr>
            </w:pP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Yu Mincho"/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zh-CN"/>
              </w:rPr>
            </w:pPr>
            <w:r>
              <w:t>1316668 – &lt;2&gt; – 1333332</w:t>
            </w:r>
          </w:p>
        </w:tc>
        <w:tc>
          <w:tcPr>
            <w:tcW w:w="2877" w:type="dxa"/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t>1113334 – &lt;2&gt; – 1250000</w:t>
            </w:r>
          </w:p>
        </w:tc>
      </w:tr>
    </w:tbl>
    <w:p>
      <w:pPr>
        <w:pStyle w:val="56"/>
        <w:jc w:val="both"/>
      </w:pPr>
    </w:p>
    <w:p>
      <w:pPr>
        <w:pStyle w:val="56"/>
        <w:rPr>
          <w:sz w:val="20"/>
          <w:szCs w:val="18"/>
          <w:lang w:eastAsia="en-US"/>
        </w:rPr>
      </w:pPr>
      <w:r>
        <w:rPr>
          <w:sz w:val="20"/>
          <w:szCs w:val="18"/>
        </w:rPr>
        <w:t xml:space="preserve">Table </w:t>
      </w:r>
      <w:r>
        <w:rPr>
          <w:rFonts w:hint="eastAsia"/>
          <w:sz w:val="20"/>
          <w:szCs w:val="18"/>
          <w:lang w:val="en-US" w:eastAsia="zh-CN"/>
        </w:rPr>
        <w:t>2-4</w:t>
      </w:r>
      <w:r>
        <w:rPr>
          <w:sz w:val="20"/>
          <w:szCs w:val="18"/>
        </w:rPr>
        <w:t>: Applicable SS raster entries per operating band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331"/>
        <w:gridCol w:w="2339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NTN satellite operating band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pattern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Range of GSCN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eastAsia="en-US"/>
              </w:rPr>
              <w:t xml:space="preserve">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12848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Yu Mincho"/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  <w:r>
              <w:rPr>
                <w:lang w:eastAsia="en-US"/>
              </w:rPr>
              <w:t xml:space="preserve">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12850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/>
                <w:lang w:val="en-US" w:eastAsia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eastAsia="en-US"/>
              </w:rPr>
              <w:t xml:space="preserve">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12848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en-US" w:bidi="ar-SA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12850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14232</w:t>
            </w:r>
          </w:p>
        </w:tc>
      </w:tr>
    </w:tbl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It is proposed to define the channel raster entries and SS raster entries for Ku band in FR1-NTN as follows.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beforeLines="150" w:after="0" w:afterLines="100" w:line="360" w:lineRule="auto"/>
        <w:textAlignment w:val="baseline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TX-RX frequency separation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In last meeting, we agreed that variable TX RX spacing is assumed. So we propose to specify the following TX-RX frequency separation for Ku band in FR1-NTN.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2-5</w:t>
      </w:r>
      <w:r>
        <w:t>: UE TX-RX frequency separation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  <w:lang w:val="fr-FR"/>
              </w:rPr>
              <w:br w:type="textWrapping"/>
            </w:r>
            <w:r>
              <w:rPr>
                <w:rFonts w:ascii="Arial" w:hAnsi="Arial" w:cs="Arial"/>
                <w:b/>
                <w:sz w:val="18"/>
                <w:lang w:val="fr-FR"/>
              </w:rPr>
              <w:t>carrier centre frequency</w:t>
            </w:r>
            <w:r>
              <w:rPr>
                <w:rFonts w:ascii="Arial" w:hAnsi="Arial" w:cs="Arial"/>
                <w:b/>
                <w:sz w:val="18"/>
                <w:lang w:val="fr-FR"/>
              </w:rPr>
              <w:br w:type="textWrapping"/>
            </w:r>
            <w:r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-1260 to -3790</w:t>
            </w:r>
            <w:r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rPr>
                <w:rFonts w:hint="default" w:ascii="Arial" w:hAnsi="Arial" w:cs="Arial"/>
                <w:sz w:val="18"/>
                <w:lang w:val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-1010 to -3290</w:t>
            </w:r>
            <w:r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</w:tbl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3: It is proposed to specify the following TX-RX frequency separation for Ku band in FR1-NTN.</w:t>
      </w:r>
    </w:p>
    <w:p>
      <w:pPr>
        <w:pStyle w:val="34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system parameters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jc w:val="both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It is proposed to define the following channel bandwidths for Ku band for two sets of bands.</w:t>
      </w:r>
    </w:p>
    <w:p>
      <w:pPr>
        <w:pStyle w:val="5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sz w:val="20"/>
          <w:szCs w:val="18"/>
          <w:lang w:eastAsia="en-US"/>
        </w:rPr>
      </w:pPr>
      <w:r>
        <w:rPr>
          <w:sz w:val="20"/>
          <w:szCs w:val="18"/>
        </w:rPr>
        <w:t xml:space="preserve">Table </w:t>
      </w:r>
      <w:r>
        <w:rPr>
          <w:rFonts w:hint="eastAsia"/>
          <w:sz w:val="20"/>
          <w:szCs w:val="18"/>
          <w:lang w:val="en-US" w:eastAsia="zh-CN"/>
        </w:rPr>
        <w:t>2-</w:t>
      </w:r>
      <w:r>
        <w:rPr>
          <w:sz w:val="20"/>
          <w:szCs w:val="18"/>
        </w:rPr>
        <w:t>1: Channel bandwidths for each NTN satellite band in FR1-NTN</w:t>
      </w:r>
    </w:p>
    <w:tbl>
      <w:tblPr>
        <w:tblStyle w:val="24"/>
        <w:tblW w:w="11125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SCS</w:t>
            </w:r>
          </w:p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t>kHz</w:t>
            </w:r>
          </w:p>
        </w:tc>
        <w:tc>
          <w:tcPr>
            <w:tcW w:w="8500" w:type="dxa"/>
            <w:gridSpan w:val="10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eastAsia="Yu Mincho"/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25</w:t>
            </w:r>
          </w:p>
        </w:tc>
        <w:tc>
          <w:tcPr>
            <w:tcW w:w="8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30</w:t>
            </w:r>
          </w:p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</w:pPr>
            <w:r>
              <w:rPr>
                <w:b/>
              </w:rPr>
              <w:t>(NOTE)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15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30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60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bookmarkStart w:id="8" w:name="_GoBack" w:colFirst="3" w:colLast="9"/>
          </w:p>
        </w:tc>
        <w:tc>
          <w:tcPr>
            <w:tcW w:w="1132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15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30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</w:t>
            </w: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850" w:type="dxa"/>
            <w:vAlign w:val="top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/>
              </w:rPr>
            </w:pPr>
          </w:p>
        </w:tc>
        <w:tc>
          <w:tcPr>
            <w:tcW w:w="1132" w:type="dxa"/>
            <w:tcBorders>
              <w:bottom w:val="single" w:color="auto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60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</w:tbl>
    <w:p>
      <w:pPr>
        <w:pStyle w:val="5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Table </w:t>
      </w:r>
      <w:r>
        <w:rPr>
          <w:rFonts w:hint="eastAsia"/>
          <w:sz w:val="20"/>
          <w:szCs w:val="18"/>
          <w:lang w:val="en-US" w:eastAsia="zh-CN"/>
        </w:rPr>
        <w:t>2-</w:t>
      </w:r>
      <w:r>
        <w:rPr>
          <w:sz w:val="20"/>
          <w:szCs w:val="18"/>
        </w:rPr>
        <w:t>2: Channel bandwidths for each NTN satellite band in FR2-NTN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1701"/>
        <w:gridCol w:w="1134"/>
        <w:gridCol w:w="1134"/>
        <w:gridCol w:w="1276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14" w:type="dxa"/>
            <w:vMerge w:val="restart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SAN Operating</w:t>
            </w:r>
            <w:r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SCS (kHz)</w:t>
            </w:r>
          </w:p>
        </w:tc>
        <w:tc>
          <w:tcPr>
            <w:tcW w:w="4814" w:type="dxa"/>
            <w:gridSpan w:val="4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i/>
              </w:rPr>
              <w:t>SAN channel bandwidth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5</w:t>
            </w:r>
            <w:r>
              <w:t>0</w:t>
            </w:r>
          </w:p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1</w:t>
            </w:r>
            <w:r>
              <w:t>00</w:t>
            </w:r>
          </w:p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6" w:type="dxa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2</w:t>
            </w:r>
            <w:r>
              <w:t>00</w:t>
            </w:r>
          </w:p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0" w:type="dxa"/>
            <w:vAlign w:val="center"/>
          </w:tcPr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4</w:t>
            </w:r>
            <w:r>
              <w:t>00</w:t>
            </w:r>
          </w:p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bottom w:val="nil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</w:t>
            </w:r>
            <w:r>
              <w:rPr>
                <w:rFonts w:hint="eastAsia" w:eastAsia="Yu Mincho" w:cs="Arial"/>
                <w:szCs w:val="18"/>
                <w:lang w:val="en-US" w:eastAsia="zh-CN"/>
              </w:rPr>
              <w:t>509</w:t>
            </w:r>
          </w:p>
        </w:tc>
        <w:tc>
          <w:tcPr>
            <w:tcW w:w="1701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6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701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120</w:t>
            </w: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100</w:t>
            </w:r>
          </w:p>
        </w:tc>
        <w:tc>
          <w:tcPr>
            <w:tcW w:w="1276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200</w:t>
            </w:r>
          </w:p>
        </w:tc>
        <w:tc>
          <w:tcPr>
            <w:tcW w:w="127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bottom w:val="nil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</w:t>
            </w:r>
            <w:r>
              <w:rPr>
                <w:rFonts w:hint="eastAsia" w:eastAsia="Yu Mincho" w:cs="Arial"/>
                <w:szCs w:val="18"/>
                <w:lang w:val="en-US" w:eastAsia="zh-CN"/>
              </w:rPr>
              <w:t>508</w:t>
            </w:r>
          </w:p>
        </w:tc>
        <w:tc>
          <w:tcPr>
            <w:tcW w:w="1701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6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27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701" w:type="dxa"/>
            <w:vAlign w:val="center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120</w:t>
            </w: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100</w:t>
            </w:r>
          </w:p>
        </w:tc>
        <w:tc>
          <w:tcPr>
            <w:tcW w:w="1276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200</w:t>
            </w:r>
          </w:p>
        </w:tc>
        <w:tc>
          <w:tcPr>
            <w:tcW w:w="1270" w:type="dxa"/>
          </w:tcPr>
          <w:p>
            <w:pPr>
              <w:pStyle w:val="5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400</w:t>
            </w:r>
          </w:p>
        </w:tc>
      </w:tr>
    </w:tbl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It is proposed to define the channel raster entries and SS raster entries for Ku band in FR1-NTN as follows.</w:t>
      </w:r>
    </w:p>
    <w:p>
      <w:pPr>
        <w:pStyle w:val="56"/>
        <w:rPr>
          <w:sz w:val="20"/>
          <w:szCs w:val="18"/>
        </w:rPr>
      </w:pPr>
      <w:r>
        <w:rPr>
          <w:sz w:val="20"/>
          <w:szCs w:val="18"/>
        </w:rPr>
        <w:t>Table 2</w:t>
      </w:r>
      <w:r>
        <w:rPr>
          <w:rFonts w:hint="eastAsia"/>
          <w:sz w:val="20"/>
          <w:szCs w:val="18"/>
          <w:lang w:val="en-US" w:eastAsia="zh-CN"/>
        </w:rPr>
        <w:t>-3</w:t>
      </w:r>
      <w:r>
        <w:rPr>
          <w:sz w:val="20"/>
          <w:szCs w:val="18"/>
        </w:rPr>
        <w:t xml:space="preserve">: </w:t>
      </w:r>
      <w:r>
        <w:rPr>
          <w:rFonts w:eastAsia="Yu Mincho"/>
          <w:sz w:val="20"/>
          <w:szCs w:val="18"/>
        </w:rPr>
        <w:t xml:space="preserve">Applicable </w:t>
      </w:r>
      <w:r>
        <w:rPr>
          <w:sz w:val="20"/>
          <w:szCs w:val="18"/>
        </w:rPr>
        <w:t>NR-A</w:t>
      </w:r>
      <w:r>
        <w:rPr>
          <w:rFonts w:eastAsia="Yu Mincho"/>
          <w:sz w:val="20"/>
          <w:szCs w:val="18"/>
        </w:rPr>
        <w:t xml:space="preserve">RFCN per </w:t>
      </w:r>
      <w:r>
        <w:rPr>
          <w:rFonts w:eastAsia="Yu Mincho"/>
          <w:i/>
          <w:sz w:val="20"/>
          <w:szCs w:val="18"/>
        </w:rPr>
        <w:t>operating band</w:t>
      </w:r>
      <w:r>
        <w:rPr>
          <w:rFonts w:eastAsia="Yu Mincho"/>
          <w:sz w:val="20"/>
          <w:szCs w:val="18"/>
        </w:rPr>
        <w:t xml:space="preserve"> in FR1-NTN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1366666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125</w:t>
            </w:r>
            <w:r>
              <w:rPr>
                <w:rFonts w:hint="eastAsia"/>
                <w:lang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1333334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1366666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1113334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– &lt;2&gt; – </w:t>
            </w:r>
            <w:r>
              <w:rPr>
                <w:rFonts w:hint="eastAsia"/>
                <w:lang w:val="en-US" w:eastAsia="zh-CN"/>
              </w:rPr>
              <w:t>125</w:t>
            </w:r>
            <w:r>
              <w:rPr>
                <w:rFonts w:hint="eastAsia"/>
                <w:lang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t>131666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 – &lt;</w:t>
            </w:r>
            <w:r>
              <w:rPr>
                <w:rFonts w:hint="eastAsia"/>
                <w:lang w:val="en-US" w:eastAsia="zh-CN"/>
              </w:rPr>
              <w:t>1</w:t>
            </w:r>
            <w:r>
              <w:t>&gt; – 1333332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1113334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– &lt;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rFonts w:hint="eastAsia"/>
                <w:lang w:val="en-US" w:eastAsia="zh-CN"/>
              </w:rPr>
              <w:t>125</w:t>
            </w:r>
            <w:r>
              <w:rPr>
                <w:rFonts w:hint="eastAsia"/>
                <w:lang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zh-CN"/>
              </w:rPr>
            </w:pPr>
          </w:p>
        </w:tc>
        <w:tc>
          <w:tcPr>
            <w:tcW w:w="1146" w:type="dxa"/>
            <w:shd w:val="clear" w:color="auto" w:fill="auto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Yu Mincho"/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zh-CN"/>
              </w:rPr>
            </w:pPr>
            <w:r>
              <w:t>1316668 – &lt;2&gt; – 1333332</w:t>
            </w:r>
          </w:p>
        </w:tc>
        <w:tc>
          <w:tcPr>
            <w:tcW w:w="2877" w:type="dxa"/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t>1113334 – &lt;2&gt; – 1250000</w:t>
            </w:r>
          </w:p>
        </w:tc>
      </w:tr>
    </w:tbl>
    <w:p>
      <w:pPr>
        <w:pStyle w:val="56"/>
        <w:jc w:val="both"/>
      </w:pPr>
    </w:p>
    <w:p>
      <w:pPr>
        <w:pStyle w:val="56"/>
        <w:rPr>
          <w:sz w:val="20"/>
          <w:szCs w:val="18"/>
          <w:lang w:eastAsia="en-US"/>
        </w:rPr>
      </w:pPr>
      <w:r>
        <w:rPr>
          <w:sz w:val="20"/>
          <w:szCs w:val="18"/>
        </w:rPr>
        <w:t xml:space="preserve">Table </w:t>
      </w:r>
      <w:r>
        <w:rPr>
          <w:rFonts w:hint="eastAsia"/>
          <w:sz w:val="20"/>
          <w:szCs w:val="18"/>
          <w:lang w:val="en-US" w:eastAsia="zh-CN"/>
        </w:rPr>
        <w:t>2-4</w:t>
      </w:r>
      <w:r>
        <w:rPr>
          <w:sz w:val="20"/>
          <w:szCs w:val="18"/>
        </w:rPr>
        <w:t>: Applicable SS raster entries per operating band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331"/>
        <w:gridCol w:w="2339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NTN satellite operating band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pattern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Range of GSCN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eastAsia="en-US"/>
              </w:rPr>
              <w:t xml:space="preserve">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12848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Yu Mincho"/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  <w:r>
              <w:rPr>
                <w:lang w:eastAsia="en-US"/>
              </w:rPr>
              <w:t xml:space="preserve">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12850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/>
                <w:lang w:val="en-US" w:eastAsia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eastAsia="en-US"/>
              </w:rPr>
              <w:t xml:space="preserve">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12848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en-US" w:bidi="ar-SA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 xml:space="preserve">Case 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12850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14232</w:t>
            </w:r>
          </w:p>
        </w:tc>
      </w:tr>
    </w:tbl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3: It is proposed to specify the following TX-RX frequency separation for Ku band in FR1-NTN.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2-5</w:t>
      </w:r>
      <w:r>
        <w:t>: UE TX-RX frequency separation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  <w:lang w:val="fr-FR"/>
              </w:rPr>
              <w:br w:type="textWrapping"/>
            </w:r>
            <w:r>
              <w:rPr>
                <w:rFonts w:ascii="Arial" w:hAnsi="Arial" w:cs="Arial"/>
                <w:b/>
                <w:sz w:val="18"/>
                <w:lang w:val="fr-FR"/>
              </w:rPr>
              <w:t>carrier centre frequency</w:t>
            </w:r>
            <w:r>
              <w:rPr>
                <w:rFonts w:ascii="Arial" w:hAnsi="Arial" w:cs="Arial"/>
                <w:b/>
                <w:sz w:val="18"/>
                <w:lang w:val="fr-FR"/>
              </w:rPr>
              <w:br w:type="textWrapping"/>
            </w:r>
            <w:r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-1260 to -3790</w:t>
            </w:r>
            <w:r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rPr>
                <w:rFonts w:hint="default" w:ascii="Arial" w:hAnsi="Arial" w:cs="Arial"/>
                <w:sz w:val="18"/>
                <w:lang w:val="en-US"/>
              </w:rPr>
            </w:pPr>
            <w:r>
              <w:rPr>
                <w:rFonts w:hint="eastAsia"/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-1010 to -3290</w:t>
            </w:r>
            <w:r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RP-250799, Revised WID: Introduction of Ku bands for NR NTN, Intelsat et al.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lang w:val="en-US" w:eastAsia="zh-CN"/>
        </w:rPr>
        <w:t>R4-2502290</w:t>
      </w:r>
      <w:r>
        <w:rPr>
          <w:rFonts w:hint="eastAsia"/>
          <w:color w:val="auto"/>
          <w:lang w:val="en-US" w:eastAsia="zh-CN"/>
        </w:rPr>
        <w:t>, Way Forward for [114][313] NR_NTN_Ku_Band_General, Moderator (Eutelsat Group)</w:t>
      </w: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2F73E4B"/>
    <w:multiLevelType w:val="multilevel"/>
    <w:tmpl w:val="12F73E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9">
    <w:nsid w:val="78A93F85"/>
    <w:multiLevelType w:val="multilevel"/>
    <w:tmpl w:val="78A93F8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937A3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8D22BA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044D0B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40EE6"/>
    <w:rsid w:val="04A65723"/>
    <w:rsid w:val="04B14B03"/>
    <w:rsid w:val="04CF6607"/>
    <w:rsid w:val="04D46535"/>
    <w:rsid w:val="04DA1A87"/>
    <w:rsid w:val="04DC0F32"/>
    <w:rsid w:val="04DE2DA3"/>
    <w:rsid w:val="04DF3C0B"/>
    <w:rsid w:val="04E2228D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13426"/>
    <w:rsid w:val="05B92EC1"/>
    <w:rsid w:val="05D05BD2"/>
    <w:rsid w:val="05DB542B"/>
    <w:rsid w:val="05E078B3"/>
    <w:rsid w:val="05E942A3"/>
    <w:rsid w:val="05EA759F"/>
    <w:rsid w:val="05EE6827"/>
    <w:rsid w:val="0601277E"/>
    <w:rsid w:val="060A52C4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93FE0"/>
    <w:rsid w:val="066E5330"/>
    <w:rsid w:val="06753771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6F923CB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00F0C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0D783A"/>
    <w:rsid w:val="0C1E494F"/>
    <w:rsid w:val="0C2A40BC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C16C2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55D13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C41AE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E6DEC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8302E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119AA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76C9A"/>
    <w:rsid w:val="127C144F"/>
    <w:rsid w:val="127E5AA6"/>
    <w:rsid w:val="12811F99"/>
    <w:rsid w:val="12813BAC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623BB"/>
    <w:rsid w:val="1307341C"/>
    <w:rsid w:val="130C40FE"/>
    <w:rsid w:val="130E3629"/>
    <w:rsid w:val="13116666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6E21E5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794D85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1834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22554"/>
    <w:rsid w:val="15740334"/>
    <w:rsid w:val="1574662E"/>
    <w:rsid w:val="15751882"/>
    <w:rsid w:val="1575191B"/>
    <w:rsid w:val="157818C6"/>
    <w:rsid w:val="158A1D2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4E0DD7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479C1"/>
    <w:rsid w:val="17991452"/>
    <w:rsid w:val="17A875F5"/>
    <w:rsid w:val="17B5256D"/>
    <w:rsid w:val="17B52BE2"/>
    <w:rsid w:val="17B92501"/>
    <w:rsid w:val="17C809DF"/>
    <w:rsid w:val="17D94E56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4E1B2F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B0783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C7F3D"/>
    <w:rsid w:val="1B5D79CB"/>
    <w:rsid w:val="1B6B769D"/>
    <w:rsid w:val="1B6C0DF0"/>
    <w:rsid w:val="1B7F6005"/>
    <w:rsid w:val="1B874E63"/>
    <w:rsid w:val="1B9C269A"/>
    <w:rsid w:val="1B9D1368"/>
    <w:rsid w:val="1B9E64C5"/>
    <w:rsid w:val="1B9E6D4C"/>
    <w:rsid w:val="1BB07CEA"/>
    <w:rsid w:val="1BB86343"/>
    <w:rsid w:val="1BBD43BA"/>
    <w:rsid w:val="1BBE1FA1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31D14"/>
    <w:rsid w:val="1E164B52"/>
    <w:rsid w:val="1E183AAB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2B19B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70407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47171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EB72B8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420388"/>
    <w:rsid w:val="244C7C9D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0C17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DA4BFD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5F0F30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C65B2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6231A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8F49DC"/>
    <w:rsid w:val="2AA069D4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A33AE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1365D"/>
    <w:rsid w:val="2BE725D0"/>
    <w:rsid w:val="2BEF631E"/>
    <w:rsid w:val="2BF369B9"/>
    <w:rsid w:val="2BFC0A4A"/>
    <w:rsid w:val="2C094904"/>
    <w:rsid w:val="2C0E55A1"/>
    <w:rsid w:val="2C14030B"/>
    <w:rsid w:val="2C2A08C5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1FD9"/>
    <w:rsid w:val="2D0A3DA2"/>
    <w:rsid w:val="2D0B3169"/>
    <w:rsid w:val="2D0D4219"/>
    <w:rsid w:val="2D105AFA"/>
    <w:rsid w:val="2D171DA8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4A661B"/>
    <w:rsid w:val="2D510F65"/>
    <w:rsid w:val="2D5436FA"/>
    <w:rsid w:val="2D59263A"/>
    <w:rsid w:val="2D62469E"/>
    <w:rsid w:val="2D6B40A9"/>
    <w:rsid w:val="2D8A3FA2"/>
    <w:rsid w:val="2D931C55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DFB4980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3561B2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11E87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0451D"/>
    <w:rsid w:val="317206BF"/>
    <w:rsid w:val="317932EA"/>
    <w:rsid w:val="317938E9"/>
    <w:rsid w:val="317E5000"/>
    <w:rsid w:val="31870868"/>
    <w:rsid w:val="31875BB4"/>
    <w:rsid w:val="31A9328B"/>
    <w:rsid w:val="31B718F2"/>
    <w:rsid w:val="31C37104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53221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27F65"/>
    <w:rsid w:val="33A47053"/>
    <w:rsid w:val="33AD5111"/>
    <w:rsid w:val="33B32240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5862E9"/>
    <w:rsid w:val="346C4879"/>
    <w:rsid w:val="346D7DEA"/>
    <w:rsid w:val="3472234D"/>
    <w:rsid w:val="34727D99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46F76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AC22DD"/>
    <w:rsid w:val="37C94031"/>
    <w:rsid w:val="37CA042E"/>
    <w:rsid w:val="37CA2635"/>
    <w:rsid w:val="37D44549"/>
    <w:rsid w:val="37D67F04"/>
    <w:rsid w:val="37D77B09"/>
    <w:rsid w:val="37D931A8"/>
    <w:rsid w:val="37D97EDE"/>
    <w:rsid w:val="37E76E34"/>
    <w:rsid w:val="37F21986"/>
    <w:rsid w:val="380632B2"/>
    <w:rsid w:val="380D02B1"/>
    <w:rsid w:val="38190834"/>
    <w:rsid w:val="381C3EB1"/>
    <w:rsid w:val="381E409C"/>
    <w:rsid w:val="382B1BDF"/>
    <w:rsid w:val="382E392C"/>
    <w:rsid w:val="38310B25"/>
    <w:rsid w:val="38321CE4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3152B"/>
    <w:rsid w:val="38C53084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12D00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97FEB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CC4EE8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057F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F5C57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1ECE"/>
    <w:rsid w:val="41DD3BC3"/>
    <w:rsid w:val="41DE1742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56495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509FC"/>
    <w:rsid w:val="430E7E66"/>
    <w:rsid w:val="431C35C1"/>
    <w:rsid w:val="431C44AA"/>
    <w:rsid w:val="43264D0E"/>
    <w:rsid w:val="43296963"/>
    <w:rsid w:val="4332317A"/>
    <w:rsid w:val="433246A0"/>
    <w:rsid w:val="433E7EE2"/>
    <w:rsid w:val="433F6B54"/>
    <w:rsid w:val="43424AD7"/>
    <w:rsid w:val="4346543A"/>
    <w:rsid w:val="43470CCF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2393A"/>
    <w:rsid w:val="43A4444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B0C21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56F6D"/>
    <w:rsid w:val="45C661BC"/>
    <w:rsid w:val="45CA082F"/>
    <w:rsid w:val="45CD2126"/>
    <w:rsid w:val="45CF358A"/>
    <w:rsid w:val="45DD738A"/>
    <w:rsid w:val="45E372CD"/>
    <w:rsid w:val="45FB2D6A"/>
    <w:rsid w:val="460B1EB2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6B3423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0363E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9007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15D73"/>
    <w:rsid w:val="49F400AC"/>
    <w:rsid w:val="49F9104E"/>
    <w:rsid w:val="4A0244D3"/>
    <w:rsid w:val="4A255046"/>
    <w:rsid w:val="4A2E1525"/>
    <w:rsid w:val="4A5A756D"/>
    <w:rsid w:val="4A70010B"/>
    <w:rsid w:val="4A722B4C"/>
    <w:rsid w:val="4A785772"/>
    <w:rsid w:val="4A7A7433"/>
    <w:rsid w:val="4A842E43"/>
    <w:rsid w:val="4A886D1D"/>
    <w:rsid w:val="4A89105B"/>
    <w:rsid w:val="4A955EEB"/>
    <w:rsid w:val="4AA341CC"/>
    <w:rsid w:val="4AB21389"/>
    <w:rsid w:val="4AC13295"/>
    <w:rsid w:val="4AC31003"/>
    <w:rsid w:val="4AC40F4C"/>
    <w:rsid w:val="4AC91D29"/>
    <w:rsid w:val="4AD02449"/>
    <w:rsid w:val="4AD25F33"/>
    <w:rsid w:val="4AD72C0B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DF5116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56BAC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DF323CB"/>
    <w:rsid w:val="4E000105"/>
    <w:rsid w:val="4E0538A3"/>
    <w:rsid w:val="4E0E6818"/>
    <w:rsid w:val="4E27683A"/>
    <w:rsid w:val="4E321D35"/>
    <w:rsid w:val="4E345F70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5F599D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B90E67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7D6BF7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1B73BC"/>
    <w:rsid w:val="502173F8"/>
    <w:rsid w:val="5022123F"/>
    <w:rsid w:val="5022385B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6E5B6B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40C69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1FC67A6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3737D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33F29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431D97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7B3E4D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15416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E34EB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A19D2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237D1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46911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377BB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608C4"/>
    <w:rsid w:val="5CCC1DEC"/>
    <w:rsid w:val="5CD33262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2F6D85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5463C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0089F"/>
    <w:rsid w:val="63677698"/>
    <w:rsid w:val="63771D13"/>
    <w:rsid w:val="63827E5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5522F1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03FB2"/>
    <w:rsid w:val="66705094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6676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B837C7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46FE6"/>
    <w:rsid w:val="68D507C6"/>
    <w:rsid w:val="68E24981"/>
    <w:rsid w:val="68E62C62"/>
    <w:rsid w:val="68ED60A5"/>
    <w:rsid w:val="68F72C97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D18C6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64CF8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9696B"/>
    <w:rsid w:val="6B1C13C3"/>
    <w:rsid w:val="6B2B0EFD"/>
    <w:rsid w:val="6B2C13E4"/>
    <w:rsid w:val="6B2D2EEB"/>
    <w:rsid w:val="6B322952"/>
    <w:rsid w:val="6B410613"/>
    <w:rsid w:val="6B4831F4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30AB3"/>
    <w:rsid w:val="6CB71894"/>
    <w:rsid w:val="6CB91201"/>
    <w:rsid w:val="6CC13ACE"/>
    <w:rsid w:val="6CD63FB3"/>
    <w:rsid w:val="6CD73CDB"/>
    <w:rsid w:val="6CD91323"/>
    <w:rsid w:val="6CFE035F"/>
    <w:rsid w:val="6D056EA6"/>
    <w:rsid w:val="6D0A5C1E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3E59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DD15C6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74ED8"/>
    <w:rsid w:val="6E7D300B"/>
    <w:rsid w:val="6E823708"/>
    <w:rsid w:val="6E8A3EFB"/>
    <w:rsid w:val="6E8F4433"/>
    <w:rsid w:val="6E920B5B"/>
    <w:rsid w:val="6E990B16"/>
    <w:rsid w:val="6E995AB6"/>
    <w:rsid w:val="6EA80CC5"/>
    <w:rsid w:val="6EAD267A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33576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EB2BCE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9621B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649D8"/>
    <w:rsid w:val="71B84778"/>
    <w:rsid w:val="71C17B7E"/>
    <w:rsid w:val="71C7540C"/>
    <w:rsid w:val="71E857A5"/>
    <w:rsid w:val="71EF5B86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0C43E5"/>
    <w:rsid w:val="7317244F"/>
    <w:rsid w:val="732070DA"/>
    <w:rsid w:val="732B736C"/>
    <w:rsid w:val="732C334F"/>
    <w:rsid w:val="733501BF"/>
    <w:rsid w:val="73471E11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CC6B2A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DA3F44"/>
    <w:rsid w:val="74E427B4"/>
    <w:rsid w:val="74E4756E"/>
    <w:rsid w:val="74ED19FF"/>
    <w:rsid w:val="75084E8F"/>
    <w:rsid w:val="7509261E"/>
    <w:rsid w:val="75096690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571EF"/>
    <w:rsid w:val="759601E2"/>
    <w:rsid w:val="75977910"/>
    <w:rsid w:val="759B0114"/>
    <w:rsid w:val="759F2A35"/>
    <w:rsid w:val="75A0304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03F2E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15B58"/>
    <w:rsid w:val="7854087B"/>
    <w:rsid w:val="78615F4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71D37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0E7446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84F94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379D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3E58B5"/>
    <w:rsid w:val="7E4401AF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2025-03-28T08:34:56Z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2B4F89433A2B423197B6EF55637CF1DB</vt:lpwstr>
  </property>
</Properties>
</file>